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101" w:rsidRPr="00E91101" w:rsidRDefault="00E91101" w:rsidP="00E91101">
      <w:pPr>
        <w:pBdr>
          <w:bottom w:val="single" w:sz="6" w:space="2" w:color="E3E3E3"/>
        </w:pBdr>
        <w:spacing w:before="100" w:beforeAutospacing="1" w:after="163" w:line="240" w:lineRule="auto"/>
        <w:outlineLvl w:val="0"/>
        <w:rPr>
          <w:rFonts w:ascii="Arial" w:eastAsia="Times New Roman" w:hAnsi="Arial" w:cs="Arial"/>
          <w:color w:val="202731"/>
          <w:kern w:val="36"/>
          <w:sz w:val="33"/>
          <w:szCs w:val="33"/>
          <w:lang w:eastAsia="ru-RU"/>
        </w:rPr>
      </w:pPr>
      <w:r w:rsidRPr="00E91101">
        <w:rPr>
          <w:rFonts w:ascii="Arial" w:eastAsia="Times New Roman" w:hAnsi="Arial" w:cs="Arial"/>
          <w:color w:val="202731"/>
          <w:kern w:val="36"/>
          <w:sz w:val="33"/>
          <w:szCs w:val="33"/>
          <w:lang w:eastAsia="ru-RU"/>
        </w:rPr>
        <w:t>Словарь ЕГЭ</w:t>
      </w:r>
    </w:p>
    <w:p w:rsidR="00E91101" w:rsidRPr="00E91101" w:rsidRDefault="00E91101" w:rsidP="00E91101">
      <w:pPr>
        <w:spacing w:after="0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А</w:t>
      </w:r>
    </w:p>
    <w:p w:rsidR="00E91101" w:rsidRPr="00E91101" w:rsidRDefault="00E91101" w:rsidP="00E91101">
      <w:pPr>
        <w:numPr>
          <w:ilvl w:val="0"/>
          <w:numId w:val="1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5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Апелляция</w:t>
        </w:r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Апелляция – это процедура, призванная защитить интересы участника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ЕГЭ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в случае выявления нарушений процедуры проведения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ЕГЭ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или несогласия с результатами ЕГЭ, основанной на предположении о наличии технических или экспертных ошибок при оценивании работы экзаменуемого.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Заявление об апелляции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подается в письменной форме в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конфликтную комиссию субъекта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Российской Федерации. Подробнее о правилах подачи апелляций читайте в разделе </w:t>
      </w:r>
      <w:hyperlink r:id="rId6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u w:val="single"/>
            <w:lang w:eastAsia="ru-RU"/>
          </w:rPr>
          <w:t>АПЕЛЛЯЦИЯ</w:t>
        </w:r>
      </w:hyperlink>
    </w:p>
    <w:p w:rsidR="00E91101" w:rsidRPr="00E91101" w:rsidRDefault="00E91101" w:rsidP="00E91101">
      <w:pPr>
        <w:spacing w:after="0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Б</w:t>
      </w:r>
    </w:p>
    <w:p w:rsidR="00E91101" w:rsidRPr="00E91101" w:rsidRDefault="00E91101" w:rsidP="00E91101">
      <w:pPr>
        <w:numPr>
          <w:ilvl w:val="0"/>
          <w:numId w:val="2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7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Бланки ЕГЭ</w:t>
        </w:r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Специальные, утвержденные </w:t>
      </w:r>
      <w:proofErr w:type="spellStart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Рособрнадзором</w:t>
      </w:r>
      <w:proofErr w:type="spellEnd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, бланки для оформления ответов на задания ЕГЭ. Существует 4 вида бланков ЕГЭ: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бланк регистрации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,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бланк ответов №1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для заданий типа</w:t>
      </w:r>
      <w:proofErr w:type="gramStart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А</w:t>
      </w:r>
      <w:proofErr w:type="gramEnd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и В,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бланк ответов №2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для заданий типа С,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дополнительный бланк ответов №2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. В бланк регистрации участник ЕГЭ вписывает свои личные данные. Ответы на экзаменационные задания вписываются в бланки ответов №1и №2 и, если понадобится, в дополнительный бланк ответов №2 в строгом соответствии с образцом, правилами заполнения и инструкциями </w:t>
      </w:r>
      <w:proofErr w:type="gramStart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в</w:t>
      </w:r>
      <w:proofErr w:type="gramEnd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 xml:space="preserve">КИМ. </w:t>
      </w:r>
    </w:p>
    <w:p w:rsidR="00E91101" w:rsidRPr="00E91101" w:rsidRDefault="00E91101" w:rsidP="00E91101">
      <w:pPr>
        <w:numPr>
          <w:ilvl w:val="0"/>
          <w:numId w:val="2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8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Бланк регистрации</w:t>
        </w:r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Бланк регистрации предназначен для внесения участником индивидуальных данных.</w:t>
      </w:r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В верхней части бланка регистрации расположены: вертикальный </w:t>
      </w:r>
      <w:proofErr w:type="spellStart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штрихкод</w:t>
      </w:r>
      <w:proofErr w:type="spellEnd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, горизонтальный </w:t>
      </w:r>
      <w:proofErr w:type="spellStart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штрихкод</w:t>
      </w:r>
      <w:proofErr w:type="spellEnd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с его цифровым номером, образец написания символов при заполнении бланка.</w:t>
      </w:r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proofErr w:type="gramStart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Поля в верхней части бланка нужны для указания следующей информации: код региона, код образовательного учреждения, в котором обучался участник ЕГЭ – выпускник текущего года (для выпускников прошлых лет или поступающих в </w:t>
      </w:r>
      <w:proofErr w:type="spellStart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ссуз</w:t>
      </w:r>
      <w:proofErr w:type="spellEnd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/вуз – код образовательного учреждения, в котором участник получил пропуск на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ЕГЭ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), номер и буква класса (не заполняется участником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ЕГЭ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– выпускником прошлых лет или поступающим в </w:t>
      </w:r>
      <w:proofErr w:type="spellStart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ссуз</w:t>
      </w:r>
      <w:proofErr w:type="spellEnd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/вуз), код пункта</w:t>
      </w:r>
      <w:proofErr w:type="gramEnd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проведения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ЕГЭ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, номер аудитории в пункте проведения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ЕГЭ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, дата проведения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ЕГЭ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, код предмета, название предмета, поля для служебного использования.</w:t>
      </w:r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В средней части бланка регистрации указываются сведения об участнике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ЕГЭ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: фамилия, имя, отчество (при наличии), серия и номер документа, удостоверяющего личность, пол. Также там расположены поля для служебного использования, краткая инструкция по определению целостности индивидуального комплекта участника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ЕГЭ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, поле для подписи участника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ЕГЭ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.</w:t>
      </w:r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proofErr w:type="gramStart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lastRenderedPageBreak/>
        <w:t xml:space="preserve">Участник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ЕГЭ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заполняет соответствующие поля верхней и средней частей бланка, кроме полей для служебного использования, и ставит в отведенном поле бланка свою подпись.</w:t>
      </w:r>
      <w:proofErr w:type="gramEnd"/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В нижней части бланка регистрации расположены поля, заполняемые ответственным организатором в аудитории в случаях, если участник удален с экзамена в связи с нарушением порядка проведения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ЕГЭ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или не закончил экзамен по уважительной причине, а также поле для подписи ответственного организатора.</w:t>
      </w:r>
    </w:p>
    <w:p w:rsidR="00E91101" w:rsidRPr="00E91101" w:rsidRDefault="00E91101" w:rsidP="00E91101">
      <w:pPr>
        <w:numPr>
          <w:ilvl w:val="0"/>
          <w:numId w:val="2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9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Бланк ответов №1</w:t>
        </w:r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Бланк ответов № 1 предназначен для записи ответов на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задания типа</w:t>
      </w:r>
      <w:proofErr w:type="gramStart"/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 xml:space="preserve"> А</w:t>
      </w:r>
      <w:proofErr w:type="gramEnd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с выбором ответа из предложенных вариантов и записи результатов выполнения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заданий типа В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с ответом в краткой форме (слово или число). Записывать ответы надо в строгом соответствии с инструкцией, которые дается к заданиям </w:t>
      </w:r>
      <w:proofErr w:type="gramStart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в</w:t>
      </w:r>
      <w:proofErr w:type="gramEnd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КИМ.</w:t>
      </w:r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proofErr w:type="gramStart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Также на этом бланке расположены вертикальный и горизонтальный </w:t>
      </w:r>
      <w:proofErr w:type="spellStart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штрихкоды</w:t>
      </w:r>
      <w:proofErr w:type="spellEnd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, строка с образцами написания символов, поля для заполнения участником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ЕГЭ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, а также поле для служебного использования.</w:t>
      </w:r>
      <w:proofErr w:type="gramEnd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Информация для заполнения полей о коде региона, коде и названии предмета должна быть продублирована с информации, внесенной в бланк регистрации.</w:t>
      </w:r>
    </w:p>
    <w:p w:rsidR="00E91101" w:rsidRPr="00E91101" w:rsidRDefault="00E91101" w:rsidP="00E91101">
      <w:pPr>
        <w:numPr>
          <w:ilvl w:val="0"/>
          <w:numId w:val="2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10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Бланк ответов №2</w:t>
        </w:r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Бланк ответов № 2 предназначен для записи ответов на задания с развернутым ответом. Поля для ответов на задания располагаются на титульной и обратной стороне бланка. </w:t>
      </w:r>
      <w:proofErr w:type="gramStart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В верхней части бланка ответов № 2 расположены вертикальный и горизонтальный </w:t>
      </w:r>
      <w:proofErr w:type="spellStart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штрихкоды</w:t>
      </w:r>
      <w:proofErr w:type="spellEnd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, поля для рукописного занесения информации участником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ЕГЭ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, при этом вносимые, код региона, код и название предмета, должны соответствовать информации, внесенной в бланк регистрации и бланк ответов № 1</w:t>
      </w:r>
      <w:proofErr w:type="gramEnd"/>
    </w:p>
    <w:p w:rsidR="00E91101" w:rsidRPr="00E91101" w:rsidRDefault="00E91101" w:rsidP="00E91101">
      <w:pPr>
        <w:numPr>
          <w:ilvl w:val="0"/>
          <w:numId w:val="2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11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Дополнительный бланк ответов №2</w:t>
        </w:r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Дополнительный бланк ответов № 2 предназначен для записи ответов на задания с развернутым ответом. Дополнительный бланк ответов № 2 выдается организатором в аудитории по требованию участника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ЕГЭ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в случае нехватки места для записи развернутого ответа.</w:t>
      </w:r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В верхней части дополнительного бланка ответов № 2 расположены вертикальный </w:t>
      </w:r>
      <w:proofErr w:type="spellStart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штрихкод</w:t>
      </w:r>
      <w:proofErr w:type="spellEnd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, горизонтальный </w:t>
      </w:r>
      <w:proofErr w:type="spellStart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штрихкод</w:t>
      </w:r>
      <w:proofErr w:type="spellEnd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и его цифровым номером, поля («Код региона», «Код предмета» и «Название предмета») заполняемые участником экзамена.</w:t>
      </w:r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Информация для заполнения полей верхней части бланка должна полностью совпадать с информацией основного бланка ответов № 2.</w:t>
      </w:r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lastRenderedPageBreak/>
        <w:t xml:space="preserve">Поля «Следующий дополнительный бланк ответов № 2» и «Лист №» заполняет организатор в аудитории. При выдаче дополнительного бланка ответов № 2 вносится порядковый номер листа работы участника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ЕГЭ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(при этом листом № 1 является основной бланк ответов № 2, который участник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ЕГЭ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получил в составе индивидуального комплекта).</w:t>
      </w:r>
    </w:p>
    <w:p w:rsidR="00E91101" w:rsidRPr="00E91101" w:rsidRDefault="00E91101" w:rsidP="00E91101">
      <w:pPr>
        <w:spacing w:after="0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Г</w:t>
      </w:r>
    </w:p>
    <w:p w:rsidR="00E91101" w:rsidRPr="00E91101" w:rsidRDefault="00E91101" w:rsidP="00E91101">
      <w:pPr>
        <w:numPr>
          <w:ilvl w:val="0"/>
          <w:numId w:val="3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12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ГИА</w:t>
        </w:r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Государственная (итоговая) аттестация представляет собой форму государственного контроля (оценки) освоения выпускниками IX (X) и XI (XII) классов основных общеобразовательных программ основного общего и среднего (полного) общего образования в соответствии с требованиями федерального государственного образовательного стандарта среднего (полного) общего образования</w:t>
      </w:r>
      <w:r w:rsidRPr="00E91101">
        <w:rPr>
          <w:rFonts w:ascii="Arial" w:eastAsia="Times New Roman" w:hAnsi="Arial" w:cs="Arial"/>
          <w:b/>
          <w:bCs/>
          <w:color w:val="1F262D"/>
          <w:sz w:val="19"/>
          <w:lang w:eastAsia="ru-RU"/>
        </w:rPr>
        <w:t>.</w:t>
      </w:r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Государственная (итоговая) аттестация выпускников XI (XII) классов проводится в форме единого государственного экзамена, а также в форме государственного выпускного экзамена.</w:t>
      </w:r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Государственная (итоговая) аттестация выпускников IX (X) классов проводится в форме государственного выпускного экзамена, а также в новой форме организации экзаменов с использованием стандартизированных заданий, выполнение которых позволяет установить уровень освоения федерального государственного стандарта основного общего образования.</w:t>
      </w:r>
    </w:p>
    <w:p w:rsidR="00E91101" w:rsidRPr="00E91101" w:rsidRDefault="00E91101" w:rsidP="00E91101">
      <w:pPr>
        <w:numPr>
          <w:ilvl w:val="0"/>
          <w:numId w:val="3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13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ГИА выпускников 9 классов</w:t>
        </w:r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Государственная (итоговая) аттестация обучающихся, освоивших образовательные программы основного общего образования проводится для выпускников IX (X) классов. С 2004 года в Российской Федерации проводится апробация государственной (итоговой) аттестации (ГИА) выпускников 9-х классов в новой форме. Основным отличием новой формы аттестации от традиционных экзаменов является то, что она носит характер независимой «внешней» оценки качества подготовки выпускников. Она представляет собой новую форму организации выпускных экзаменов с использованием заданий стандартизированной формы, выполнение которых позволяет установить уровень освоения федерального государственного стандарта основного общего образования с использованием механизмов независимой оценки знаний. Для ее проведения в субъектах РФ создаются территориальные экзаменационные комиссии.</w:t>
      </w:r>
    </w:p>
    <w:p w:rsidR="00E91101" w:rsidRPr="00E91101" w:rsidRDefault="00E91101" w:rsidP="00E91101">
      <w:pPr>
        <w:numPr>
          <w:ilvl w:val="0"/>
          <w:numId w:val="3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14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ГИА выпускников 11 классов</w:t>
        </w:r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Государственная (итоговая) аттестация выпускников XI (XII) классов – это форма государственного контроля (оценки) освоения выпускниками основных общеобразовательных программ среднего (полного) общего образования в соответствии с требованиями федерального государственного образовательного стандарта среднего (полного) общего образования. ГИА выпускников XI (XII) классов проводится в форме ЕГЭ, а также в форме 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lastRenderedPageBreak/>
        <w:t>государственного выпускного экзамена. Для нескольких категорий выпускников допускается сочетание обеих форм ГИА</w:t>
      </w:r>
    </w:p>
    <w:p w:rsidR="00E91101" w:rsidRPr="00E91101" w:rsidRDefault="00E91101" w:rsidP="00E91101">
      <w:pPr>
        <w:numPr>
          <w:ilvl w:val="0"/>
          <w:numId w:val="3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15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ГЭК</w:t>
        </w:r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Государственная экзаменационная комиссия субъекта Российской Федерации, которая создаётся в каждом субъекте Федерации. В нее входят представители органов государственной власти региона, органов местного самоуправления, ОУ, других организаций. Персональный состав ГЭК утверждается </w:t>
      </w:r>
      <w:proofErr w:type="spellStart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Рособрнадзором</w:t>
      </w:r>
      <w:proofErr w:type="spellEnd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. ГЭК организует, координирует и контролирует работу по подготовке и проведению ЕГЭ на территории субъекта, утверждает на своем заседании результаты проведения ЕГЭ, а также принимает решения об их отмене.</w:t>
      </w:r>
    </w:p>
    <w:p w:rsidR="00E91101" w:rsidRPr="00E91101" w:rsidRDefault="00E91101" w:rsidP="00E91101">
      <w:pPr>
        <w:spacing w:after="0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Д</w:t>
      </w:r>
    </w:p>
    <w:p w:rsidR="00E91101" w:rsidRPr="00E91101" w:rsidRDefault="00E91101" w:rsidP="00E91101">
      <w:pPr>
        <w:numPr>
          <w:ilvl w:val="0"/>
          <w:numId w:val="4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16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Демоверсии</w:t>
        </w:r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Демонстрационные варианты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контрольных измерительных материалов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единого государственного экзамена, которые находятся в открытом доступе и предназначены для тренировки будущих участников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ЕГЭ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. Задания, включенные в демоверсию, никогда не использовались и не будут использованы на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ЕГЭ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, но они аналогичным заданиям экзамена. Они созданы и опубликованы специально для того, чтобы дать возможность любому участнику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ЕГЭ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составить представление о структуре и содержании будущих экзаменационных заданий, их количестве, форме, уровне сложности.</w:t>
      </w:r>
    </w:p>
    <w:p w:rsidR="00E91101" w:rsidRPr="00E91101" w:rsidRDefault="00E91101" w:rsidP="00E91101">
      <w:pPr>
        <w:numPr>
          <w:ilvl w:val="0"/>
          <w:numId w:val="4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17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Доставочный пакет</w:t>
        </w:r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Это запечатанный пакет, в котором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индивидуальные комплекты ЕГЭ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доставляются в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ППЭ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. Несанкционированное вскрытие доставочного пакета запрещено. Технологии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ЕГЭ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позволяют выявить все факты преднамеренного нарушения герметичности упаковки доставочного пакета. Организаторы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ЕГЭ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в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ППЭ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обязаны убедиться в сохранность доставочных пакетов перед их вскрытием непосредственно в аудиториях в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ППЭ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, а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наблюдатели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– контролировать эту процедуру, убедившись в отсутствии механических или иных повреждений.</w:t>
      </w:r>
    </w:p>
    <w:p w:rsidR="00E91101" w:rsidRPr="00E91101" w:rsidRDefault="00E91101" w:rsidP="00E91101">
      <w:pPr>
        <w:spacing w:after="0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Е</w:t>
      </w:r>
    </w:p>
    <w:p w:rsidR="00E91101" w:rsidRPr="00E91101" w:rsidRDefault="00E91101" w:rsidP="00E91101">
      <w:pPr>
        <w:numPr>
          <w:ilvl w:val="0"/>
          <w:numId w:val="5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18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ЕГЭ</w:t>
        </w:r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Единый государственный экзамен – одна из форм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государственной итоговой аттестации выпускников 11-х классов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и вступительных испытаний в высшие и средние специальные учебные заведения.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ЕГЭ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проводится по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единым правилам,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с использованием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заданий стандартизированной формы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и единой методики оценивания выполненных работ. На сегодняшний день утверждены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14 общеобразовательных предмета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(включая четыре иностранных языка), по которым можно сдать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ЕГЭ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. Участники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ЕГЭ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получают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свидетельство о результатах ЕГЭ,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в которое вписываются только положительные результаты сданных 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lastRenderedPageBreak/>
        <w:t xml:space="preserve">экзаменов. Результаты всех экзаменов и данные о выданных свидетельствах хранятся в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федеральной базе данных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.</w:t>
      </w:r>
    </w:p>
    <w:p w:rsidR="00E91101" w:rsidRPr="00E91101" w:rsidRDefault="00E91101" w:rsidP="00E91101">
      <w:pPr>
        <w:spacing w:after="0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proofErr w:type="gramStart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З</w:t>
      </w:r>
      <w:proofErr w:type="gramEnd"/>
    </w:p>
    <w:p w:rsidR="00E91101" w:rsidRPr="00E91101" w:rsidRDefault="00E91101" w:rsidP="00E91101">
      <w:pPr>
        <w:numPr>
          <w:ilvl w:val="0"/>
          <w:numId w:val="6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19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Задание типа</w:t>
        </w:r>
        <w:proofErr w:type="gramStart"/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 xml:space="preserve"> А</w:t>
        </w:r>
        <w:proofErr w:type="gramEnd"/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Задания этого типа содержат тестовые задания, в каждом из которых необходимо выбрать верный вариант ответа из нескольких предложенных. Ответы на задания этого типа обрабатываются с помощью специальной компьютерной программы без участия экспертов-предметников. </w:t>
      </w:r>
      <w:proofErr w:type="spellStart"/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КИМы</w:t>
      </w:r>
      <w:proofErr w:type="spellEnd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по некоторым предметам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ЕГЭ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(литературе и математике) не содержат заданий этого типа.</w:t>
      </w:r>
    </w:p>
    <w:p w:rsidR="00E91101" w:rsidRPr="00E91101" w:rsidRDefault="00E91101" w:rsidP="00E91101">
      <w:pPr>
        <w:numPr>
          <w:ilvl w:val="0"/>
          <w:numId w:val="6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20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Задание типа</w:t>
        </w:r>
        <w:proofErr w:type="gramStart"/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 xml:space="preserve"> В</w:t>
        </w:r>
        <w:proofErr w:type="gramEnd"/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Задания этого типа содержат тестовые задания, в каждом из которых необходимо дать краткий ответ, состоящий из одного или нескольких слов, букв или чисел. Ответы на задания этого типа обрабатываются с помощью специальной компьютерной программы без участия экспертов-предметников.</w:t>
      </w:r>
    </w:p>
    <w:p w:rsidR="00E91101" w:rsidRPr="00E91101" w:rsidRDefault="00E91101" w:rsidP="00E91101">
      <w:pPr>
        <w:numPr>
          <w:ilvl w:val="0"/>
          <w:numId w:val="6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21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Задание типа</w:t>
        </w:r>
        <w:proofErr w:type="gramStart"/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 xml:space="preserve"> С</w:t>
        </w:r>
        <w:proofErr w:type="gramEnd"/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Задания этого типа содержат тестовые задания, в каждом из которых необходимо дать ответ в виде одного или нескольких предложений или формул. Проверка правильности ответов на эти задания производится специально подготовленными независимыми экспертами-предметниками с использованием четко определенных критериев оценивания. Результаты оценивания экспертов заносятся в компьютер и обрабатываются.</w:t>
      </w:r>
    </w:p>
    <w:p w:rsidR="00E91101" w:rsidRPr="00E91101" w:rsidRDefault="00E91101" w:rsidP="00E91101">
      <w:pPr>
        <w:numPr>
          <w:ilvl w:val="0"/>
          <w:numId w:val="6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22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ЗОУ</w:t>
        </w:r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Зарубежные образовательные учреждения Российской Федерации, расположенные в иностранных государствах при посольствах, военных частях Российской Федерации и др.</w:t>
      </w:r>
    </w:p>
    <w:p w:rsidR="00E91101" w:rsidRPr="00E91101" w:rsidRDefault="00E91101" w:rsidP="00E91101">
      <w:pPr>
        <w:spacing w:after="0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И</w:t>
      </w:r>
    </w:p>
    <w:p w:rsidR="00E91101" w:rsidRPr="00E91101" w:rsidRDefault="00E91101" w:rsidP="00E91101">
      <w:pPr>
        <w:numPr>
          <w:ilvl w:val="0"/>
          <w:numId w:val="7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23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Измерение</w:t>
        </w:r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Формализованный процесс оценивания (</w:t>
      </w:r>
      <w:proofErr w:type="gramStart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см</w:t>
      </w:r>
      <w:proofErr w:type="gramEnd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.), который завершается количественной оценкой; в случае педагогического измерения это оценка уровня образовательных достижений.</w:t>
      </w:r>
    </w:p>
    <w:p w:rsidR="00E91101" w:rsidRPr="00E91101" w:rsidRDefault="00E91101" w:rsidP="00E91101">
      <w:pPr>
        <w:numPr>
          <w:ilvl w:val="0"/>
          <w:numId w:val="7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24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ИК</w:t>
        </w:r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Индивидуальный комплект участника Е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ГЭ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. Это запечатанный конверт формата А-4+, который выдается каждому участнику экзамена. Имеет средства защиты информации, в частности, два </w:t>
      </w:r>
      <w:proofErr w:type="spellStart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штрихкода</w:t>
      </w:r>
      <w:proofErr w:type="spellEnd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с цифровыми номерами. В конверте находятся следующее: экзаменационные 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lastRenderedPageBreak/>
        <w:t>материалы (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КИМ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),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бланк регистрации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,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бланк ответов №1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,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бланк ответов №2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, лист для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 xml:space="preserve"> 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сверки соответствия номера и </w:t>
      </w:r>
      <w:proofErr w:type="spellStart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штрихкода</w:t>
      </w:r>
      <w:proofErr w:type="spellEnd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конверта с номером и </w:t>
      </w:r>
      <w:proofErr w:type="spellStart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штрихкодом</w:t>
      </w:r>
      <w:proofErr w:type="spellEnd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его содержимого, а так же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дополнительные материалы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, если их наличие предусмотрено на данном экзамене. ИК выдается участнику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ЕГЭ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непосредственно перед началом экзамена. ИК и его содержимое запрещено к несанкционированному копированию.</w:t>
      </w:r>
    </w:p>
    <w:p w:rsidR="00E91101" w:rsidRPr="00E91101" w:rsidRDefault="00E91101" w:rsidP="00E91101">
      <w:pPr>
        <w:spacing w:after="0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К</w:t>
      </w:r>
    </w:p>
    <w:p w:rsidR="00E91101" w:rsidRPr="00E91101" w:rsidRDefault="00E91101" w:rsidP="00E91101">
      <w:pPr>
        <w:numPr>
          <w:ilvl w:val="0"/>
          <w:numId w:val="8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25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КИМ</w:t>
        </w:r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Контрольные измерительные материалы – экзаменационные материалы различных видов (тексты, задания и др.), которые выдаются участникам </w:t>
      </w:r>
      <w:r w:rsidRPr="00E91101">
        <w:rPr>
          <w:rFonts w:ascii="Arial" w:eastAsia="Times New Roman" w:hAnsi="Arial" w:cs="Arial"/>
          <w:color w:val="1F262D"/>
          <w:sz w:val="19"/>
          <w:szCs w:val="19"/>
          <w:u w:val="single"/>
          <w:lang w:eastAsia="ru-RU"/>
        </w:rPr>
        <w:t>ЕГЭ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на экзамене. </w:t>
      </w:r>
      <w:proofErr w:type="spellStart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КИМы</w:t>
      </w:r>
      <w:proofErr w:type="spellEnd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разрабатываются в соответствии с требованиями федерального государственного образовательного стандарта среднего (полного) общего образования к результатам освоения основных общеобразовательных программ среднего (полного) общего образования. Разработкой КИМ занимаются специалисты </w:t>
      </w:r>
      <w:hyperlink r:id="rId26" w:tgtFrame="_blank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ФГНУ ФИПИ</w:t>
        </w:r>
      </w:hyperlink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.</w:t>
      </w:r>
    </w:p>
    <w:p w:rsidR="00E91101" w:rsidRPr="00E91101" w:rsidRDefault="00E91101" w:rsidP="00E91101">
      <w:pPr>
        <w:numPr>
          <w:ilvl w:val="0"/>
          <w:numId w:val="8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27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Кодификатор</w:t>
        </w:r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Кодификатор элементов содержания и требований к уровню подготовки выпускников общеобразовательных учреждений для ЕГЭ – один из документов, регламентирующих разработку КИМ. Он представляет собой перечень элементов обязательного минимума содержания среднего (полного) и основного общего образования по учебному предмету, в котором каждому элементу содержания присвоен собственный код. Кодификатор составлен на основе Федерального компонента государственных стандартов основного общего и среднего (полного) общего образования, базового и профильного уровней по каждому предмету.</w:t>
      </w:r>
    </w:p>
    <w:p w:rsidR="00E91101" w:rsidRPr="00E91101" w:rsidRDefault="00E91101" w:rsidP="00E91101">
      <w:pPr>
        <w:numPr>
          <w:ilvl w:val="0"/>
          <w:numId w:val="8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28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Комиссии ЕГЭ</w:t>
        </w:r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Для организации и проведения ГИА на территории РФ, в том числе в форме ЕГЭ, в каждом регионе создаются и утверждаются </w:t>
      </w:r>
      <w:proofErr w:type="spellStart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Рособрнадзором</w:t>
      </w:r>
      <w:proofErr w:type="spellEnd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экзаменационные, предметные и конфликтные комиссии. А для организации и проведения ЕГЭ за пределами территории Российской Федерации создаются федеральные - экзаменационная, предметная и конфликтная комиссии.</w:t>
      </w:r>
    </w:p>
    <w:p w:rsidR="00E91101" w:rsidRPr="00E91101" w:rsidRDefault="00E91101" w:rsidP="00E91101">
      <w:pPr>
        <w:numPr>
          <w:ilvl w:val="0"/>
          <w:numId w:val="8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29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Конфликтная комиссия</w:t>
        </w:r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Конфликтные комиссии, создаваемые в каждом субъекте РФ, призваны обеспечивать объективность оценивания экзаменационных работ и разрешении спорных вопросов, возникающих при проведении ЕГЭ.</w:t>
      </w:r>
    </w:p>
    <w:p w:rsidR="00E91101" w:rsidRPr="00E91101" w:rsidRDefault="00E91101" w:rsidP="00E91101">
      <w:pPr>
        <w:spacing w:after="0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М</w:t>
      </w:r>
    </w:p>
    <w:p w:rsidR="00E91101" w:rsidRPr="00E91101" w:rsidRDefault="00E91101" w:rsidP="00E91101">
      <w:pPr>
        <w:numPr>
          <w:ilvl w:val="0"/>
          <w:numId w:val="9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30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 xml:space="preserve">Методика </w:t>
        </w:r>
        <w:proofErr w:type="spellStart"/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шкалирования</w:t>
        </w:r>
        <w:proofErr w:type="spellEnd"/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lastRenderedPageBreak/>
        <w:t xml:space="preserve">Математическая модель, с помощью которой первичные баллы переводятся </w:t>
      </w:r>
      <w:proofErr w:type="gramStart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в</w:t>
      </w:r>
      <w:proofErr w:type="gramEnd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тестовые. Благодаря методике, при одинаковых первичных баллах участники тестирования получают одинаковые тестовые баллы вне зависимости от того, какой из вариантов КИМ они выполняли, и большему первичному баллу соответствует больший тестовый балл.</w:t>
      </w:r>
    </w:p>
    <w:p w:rsidR="00E91101" w:rsidRPr="00E91101" w:rsidRDefault="00E91101" w:rsidP="00E91101">
      <w:pPr>
        <w:numPr>
          <w:ilvl w:val="0"/>
          <w:numId w:val="9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31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МОУО</w:t>
        </w:r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Местный орган управления образованием, то есть орган местного самоуправления, осуществляющий полномочия в сфере образования.</w:t>
      </w:r>
    </w:p>
    <w:p w:rsidR="00E91101" w:rsidRPr="00E91101" w:rsidRDefault="00E91101" w:rsidP="00E91101">
      <w:pPr>
        <w:spacing w:after="0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О</w:t>
      </w:r>
    </w:p>
    <w:p w:rsidR="00E91101" w:rsidRPr="00E91101" w:rsidRDefault="00E91101" w:rsidP="00E91101">
      <w:pPr>
        <w:numPr>
          <w:ilvl w:val="0"/>
          <w:numId w:val="10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32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Общественные наблюдатели</w:t>
        </w:r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Лица, привлекаемые для усиления контроля за ходом проведения государственной (итоговой) аттестации </w:t>
      </w:r>
      <w:proofErr w:type="gramStart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обучающихся</w:t>
      </w:r>
      <w:proofErr w:type="gramEnd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, освоивших образовательные программы основного общего образования или среднего (полного) общего образования. Деятельность общественных наблюдателей регулируется Приказом </w:t>
      </w:r>
      <w:proofErr w:type="spellStart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Минобрнауки</w:t>
      </w:r>
      <w:proofErr w:type="spellEnd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России от 29 августа 2011 г. N 2235 </w:t>
      </w:r>
      <w:hyperlink r:id="rId33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«Об утверждении Положения о системе общественного наблюдения при проведении государственной (итоговой) аттестации обучающихся, освоивших образовательные программы основного общего образования или среднего (полного) общего образования»</w:t>
        </w:r>
      </w:hyperlink>
    </w:p>
    <w:p w:rsidR="00E91101" w:rsidRPr="00E91101" w:rsidRDefault="00E91101" w:rsidP="00E91101">
      <w:pPr>
        <w:numPr>
          <w:ilvl w:val="0"/>
          <w:numId w:val="10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34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ОВЗ</w:t>
        </w:r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Участники с ограниченными возможностями здоровья, то есть имеющие недостатки в физическом и (или) психическом развитии: глухие, слабослышащие, слепые, слабовидящие, с тяжелыми нарушениями речи, с нарушениями опорно-двигательного аппарата и другие, в том числе дети-инвалиды. </w:t>
      </w:r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Для участников с ОВЗ экзамены организуются с учетом их особенностей психофизического развития, индивидуальных возможностей и состояния здоровья.</w:t>
      </w:r>
    </w:p>
    <w:p w:rsidR="00E91101" w:rsidRPr="00E91101" w:rsidRDefault="00E91101" w:rsidP="00E91101">
      <w:pPr>
        <w:numPr>
          <w:ilvl w:val="0"/>
          <w:numId w:val="10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35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Организатор ЕГЭ</w:t>
        </w:r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Лица, привлеченные к организации и проведению ЕГЭ. Как правило, это преподаватели ОУ, в котором проходит экзамен. При назначении организаторов должно быть исключена возможность присутствия на ППЭ в момент проведения экзамена преподавателей-предметников по соответствующему или родственному предмету (математика - физика, история - обществознание). В состав организаторов ППЭ не должны включаться преподаватели тех ОУ, выпускники которых сдают ЕГЭ </w:t>
      </w:r>
      <w:proofErr w:type="gramStart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в</w:t>
      </w:r>
      <w:proofErr w:type="gramEnd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данном ППЭ.</w:t>
      </w:r>
    </w:p>
    <w:p w:rsidR="00E91101" w:rsidRPr="00E91101" w:rsidRDefault="00E91101" w:rsidP="00E91101">
      <w:pPr>
        <w:numPr>
          <w:ilvl w:val="0"/>
          <w:numId w:val="10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36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ОУ</w:t>
        </w:r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Образовательное учреждение</w:t>
      </w:r>
    </w:p>
    <w:p w:rsidR="00E91101" w:rsidRPr="00E91101" w:rsidRDefault="00E91101" w:rsidP="00E91101">
      <w:pPr>
        <w:numPr>
          <w:ilvl w:val="0"/>
          <w:numId w:val="10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37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ОУО</w:t>
        </w:r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Орган управления образованием, то есть уполномоченный орган исполнительной власти субъекта Российской Федерации, осуществляющий управление в сфере образования.</w:t>
      </w:r>
    </w:p>
    <w:p w:rsidR="00E91101" w:rsidRPr="00E91101" w:rsidRDefault="00E91101" w:rsidP="00E91101">
      <w:pPr>
        <w:spacing w:after="0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proofErr w:type="gramStart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П</w:t>
      </w:r>
      <w:proofErr w:type="gramEnd"/>
    </w:p>
    <w:p w:rsidR="00E91101" w:rsidRPr="00E91101" w:rsidRDefault="00E91101" w:rsidP="00E91101">
      <w:pPr>
        <w:numPr>
          <w:ilvl w:val="0"/>
          <w:numId w:val="11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38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Первичный балл</w:t>
        </w:r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Первичный балл – это предварительный балл ЕГЭ, который получается путем прямого суммирования числа правильных ответов, каждый из которых имеет определенный коэффициент. Каждое выполненное задание ЕГЭ оценивается количеством баллов от 1 до 6. Максимальное количество первичных баллов за все задания КИМ по разным предметам колеблется от 37 до 80. Первичные баллы ЕГЭ преобразуются в тестовые с помощью методики </w:t>
      </w:r>
      <w:proofErr w:type="spellStart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шкалирования</w:t>
      </w:r>
      <w:proofErr w:type="spellEnd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.</w:t>
      </w:r>
    </w:p>
    <w:p w:rsidR="00E91101" w:rsidRPr="00E91101" w:rsidRDefault="00E91101" w:rsidP="00E91101">
      <w:pPr>
        <w:numPr>
          <w:ilvl w:val="0"/>
          <w:numId w:val="11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39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ППЭ</w:t>
        </w:r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Пункт проведения единого государственного экзамена – специальное помещение, в котором проводится ЕГЭ. ППЭ размещаются в ОУ или других зданиях, отвечающих необходимым для этого требованиям. В каждом регионе РФ ежегодно утверждается своя схема расположения ППЭ. Схемы расположения ППЭ в основные и дополнительные сроки могут отличаться друг от друга. В одном ППЭ, как правило, располагается несколько аудиторий для сдачи экзамена.</w:t>
      </w:r>
    </w:p>
    <w:p w:rsidR="00E91101" w:rsidRPr="00E91101" w:rsidRDefault="00E91101" w:rsidP="00E91101">
      <w:pPr>
        <w:numPr>
          <w:ilvl w:val="0"/>
          <w:numId w:val="11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40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ППОИ</w:t>
        </w:r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Пункт первичной обработки информации. В ППОИ осуществляется приём экзаменационных материалов для проведения первичной обработки бланков регистрации. Все созданные на территории субъекта РФ ППОИ находятся в технологическом подчинении РЦОИ</w:t>
      </w:r>
    </w:p>
    <w:p w:rsidR="00E91101" w:rsidRPr="00E91101" w:rsidRDefault="00E91101" w:rsidP="00E91101">
      <w:pPr>
        <w:spacing w:after="0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proofErr w:type="gramStart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Р</w:t>
      </w:r>
      <w:proofErr w:type="gramEnd"/>
    </w:p>
    <w:p w:rsidR="00E91101" w:rsidRPr="00E91101" w:rsidRDefault="00E91101" w:rsidP="00E91101">
      <w:pPr>
        <w:numPr>
          <w:ilvl w:val="0"/>
          <w:numId w:val="12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41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РБД</w:t>
        </w:r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Региональная база данных об участниках ЕГЭ и о результатах единого государственного экзамена, создаваемая в каждом субъекте РФ. Кроме того, в РБД содержатся сведения о выданных на территории субъекта РФ свидетельствах о результатах ЕГЭ, о работниках, привлекаемых к проведению ЕГЭ, о пунктах проведения экзаменов.</w:t>
      </w:r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Защита и обеспечение безопасности персональных данных участников ЕГЭ, включаемых в РБД, осуществляются в порядке и с соблюдением требований, установленных законодательством РФ.</w:t>
      </w:r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lastRenderedPageBreak/>
        <w:t>Пользователями РБД являются заинтересованные органы государственной власти субъектов РФ, органы местного самоуправления, образовательные учреждения, а также организации, привлекаемые к проведению ЕГЭ.</w:t>
      </w:r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Порядок и условия доступа к информации, содержащейся в РБД, определяются </w:t>
      </w:r>
      <w:proofErr w:type="spellStart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Рособрнадзором</w:t>
      </w:r>
      <w:proofErr w:type="spellEnd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.</w:t>
      </w:r>
    </w:p>
    <w:p w:rsidR="00E91101" w:rsidRPr="00E91101" w:rsidRDefault="00E91101" w:rsidP="00E91101">
      <w:pPr>
        <w:numPr>
          <w:ilvl w:val="0"/>
          <w:numId w:val="12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РИС</w:t>
      </w:r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Региональная информационная система обеспечения проведения единого государственного экзамена. Правила её формирования и ведения устанавливаются соответствующим Постановлением Правительства Российской Федерации</w:t>
      </w:r>
      <w:proofErr w:type="gramStart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.</w:t>
      </w:r>
      <w:proofErr w:type="gramEnd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</w:t>
      </w:r>
      <w:hyperlink r:id="rId42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(</w:t>
        </w:r>
        <w:proofErr w:type="gramStart"/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с</w:t>
        </w:r>
        <w:proofErr w:type="gramEnd"/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м. документ)</w:t>
        </w:r>
      </w:hyperlink>
    </w:p>
    <w:p w:rsidR="00E91101" w:rsidRPr="00E91101" w:rsidRDefault="00E91101" w:rsidP="00E91101">
      <w:pPr>
        <w:numPr>
          <w:ilvl w:val="0"/>
          <w:numId w:val="12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43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РЦОИ</w:t>
        </w:r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Региональный центр обработки информации является структурой, осуществляющей организационно-технологическое и информационное сопровождение ЕГЭ в субъекте РФ. С учетом административно-территориальных и демографических особенностей субъекта, в эту структуру может входить один или несколько ППОИ.</w:t>
      </w:r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Сфера ответственности РЦОИ:</w:t>
      </w:r>
    </w:p>
    <w:p w:rsidR="00E91101" w:rsidRPr="00E91101" w:rsidRDefault="00E91101" w:rsidP="00E91101">
      <w:pPr>
        <w:numPr>
          <w:ilvl w:val="1"/>
          <w:numId w:val="12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формирование и ведение баз данных субъекта РФ об участниках и результатах ЕГЭ;</w:t>
      </w:r>
    </w:p>
    <w:p w:rsidR="00E91101" w:rsidRPr="00E91101" w:rsidRDefault="00E91101" w:rsidP="00E91101">
      <w:pPr>
        <w:numPr>
          <w:ilvl w:val="1"/>
          <w:numId w:val="12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обеспечение взаимодействия с федеральными базами данных об участниках и результатах ЕГЭ;</w:t>
      </w:r>
    </w:p>
    <w:p w:rsidR="00E91101" w:rsidRPr="00E91101" w:rsidRDefault="00E91101" w:rsidP="00E91101">
      <w:pPr>
        <w:numPr>
          <w:ilvl w:val="1"/>
          <w:numId w:val="12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обработка экзаменационных работ участников ЕГЭ, в том числе бланков регистрации участников ЕГЭ на базе ППОИ (в случае их создания);</w:t>
      </w:r>
    </w:p>
    <w:p w:rsidR="00E91101" w:rsidRPr="00E91101" w:rsidRDefault="00E91101" w:rsidP="00E91101">
      <w:pPr>
        <w:numPr>
          <w:ilvl w:val="1"/>
          <w:numId w:val="12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информационное обеспечение работы ГЭК, предметных комиссий, конфликтной комиссии региона, органов исполнительной власти и местного самоуправления субъекта РФ, осуществляющих управление в сфере образования, а также образовательных учреждений в части организации и проведения ЕГЭ</w:t>
      </w:r>
    </w:p>
    <w:p w:rsidR="00E91101" w:rsidRPr="00E91101" w:rsidRDefault="00E91101" w:rsidP="00E91101">
      <w:pPr>
        <w:spacing w:after="0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С</w:t>
      </w:r>
    </w:p>
    <w:p w:rsidR="00E91101" w:rsidRPr="00E91101" w:rsidRDefault="00E91101" w:rsidP="00E91101">
      <w:pPr>
        <w:numPr>
          <w:ilvl w:val="0"/>
          <w:numId w:val="13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44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Свидетельство о результатах ЕГЭ</w:t>
        </w:r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Документ, который выдается лицам, участвовавшим в ЕГЭ. В свидетельство выставляются результаты ЕГЭ по тем общеобразовательным предметам, по которым участник экзамена набрал количество баллов не ниже минимального. Данные обо всех выданных свидетельствах хранятся в ФБД и ФБС.</w:t>
      </w:r>
    </w:p>
    <w:p w:rsidR="00E91101" w:rsidRPr="00E91101" w:rsidRDefault="00E91101" w:rsidP="00E91101">
      <w:pPr>
        <w:numPr>
          <w:ilvl w:val="0"/>
          <w:numId w:val="13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45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Спецификация</w:t>
        </w:r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Документ, определяющий структуру и содержание КИМ по учебному предмету. Спецификация описывает назначение экзаменационной работы, устанавливает распределение заданий по 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lastRenderedPageBreak/>
        <w:t xml:space="preserve">содержанию, видам деятельности и уровню сложности, утверждает систему оценивания отдельных заданий и работы в целом, обозначает условия проведения и проверки результатов экзамена. На основе плана экзаменационной работы, содержащегося в спецификации, формируются </w:t>
      </w:r>
      <w:proofErr w:type="spellStart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КИМы</w:t>
      </w:r>
      <w:proofErr w:type="spellEnd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.</w:t>
      </w:r>
    </w:p>
    <w:p w:rsidR="00E91101" w:rsidRPr="00E91101" w:rsidRDefault="00E91101" w:rsidP="00E91101">
      <w:pPr>
        <w:numPr>
          <w:ilvl w:val="0"/>
          <w:numId w:val="13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46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Справка об обучении в ОУ</w:t>
        </w:r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Выдается выпускникам, не завершившим среднего (полного) общего образования, не прошедшим ГИА или получившим неудовлетворительные результаты ЕГЭ по русскому и математике, либо получившие повторно неудовлетворительный результат по одному из этих предметов на ЕГЭ в дополнительные сроки. Таким выпускникам предоставляется право пройти ГИА по соответствующим образовательным предметам не ранее, чем через год.</w:t>
      </w:r>
    </w:p>
    <w:p w:rsidR="00E91101" w:rsidRPr="00E91101" w:rsidRDefault="00E91101" w:rsidP="00E91101">
      <w:pPr>
        <w:numPr>
          <w:ilvl w:val="0"/>
          <w:numId w:val="13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47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Сроки сдачи</w:t>
        </w:r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Сроки сдачи ЕГЭ по всем предметам, единые для всех субъектов РФ, ежегодно устанавливает </w:t>
      </w:r>
      <w:proofErr w:type="spellStart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Рособрнадзор</w:t>
      </w:r>
      <w:proofErr w:type="spellEnd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.</w:t>
      </w:r>
    </w:p>
    <w:p w:rsidR="00E91101" w:rsidRPr="00E91101" w:rsidRDefault="00E91101" w:rsidP="00E91101">
      <w:pPr>
        <w:spacing w:after="0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Т</w:t>
      </w:r>
    </w:p>
    <w:p w:rsidR="00E91101" w:rsidRPr="00E91101" w:rsidRDefault="00E91101" w:rsidP="00E91101">
      <w:pPr>
        <w:numPr>
          <w:ilvl w:val="0"/>
          <w:numId w:val="14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48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Тестовые баллы</w:t>
        </w:r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Окончательные баллы по результатам ЕГЭ, которые выставляются по </w:t>
      </w:r>
      <w:proofErr w:type="spellStart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стобалльной</w:t>
      </w:r>
      <w:proofErr w:type="spellEnd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шкале в результате процедуры </w:t>
      </w:r>
      <w:proofErr w:type="spellStart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шкалирования</w:t>
      </w:r>
      <w:proofErr w:type="spellEnd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, учитывающей все статистические материалы, полученные в рамках проведения ЕГЭ данного года. Тестовые баллы отличаются от первичных баллов.</w:t>
      </w:r>
    </w:p>
    <w:p w:rsidR="00E91101" w:rsidRPr="00E91101" w:rsidRDefault="00E91101" w:rsidP="00E91101">
      <w:pPr>
        <w:numPr>
          <w:ilvl w:val="0"/>
          <w:numId w:val="14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49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Территориальные экзаменационные комиссии</w:t>
        </w:r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Территориальные экзаменационные комиссии (ТЭК) создаются в каждом субъекте РФ для организации подготовки и проведения ГИА выпускников 9 классов и </w:t>
      </w:r>
      <w:r w:rsidRPr="00E91101">
        <w:rPr>
          <w:rFonts w:ascii="Arial" w:eastAsia="Times New Roman" w:hAnsi="Arial" w:cs="Arial"/>
          <w:b/>
          <w:bCs/>
          <w:color w:val="1F262D"/>
          <w:sz w:val="19"/>
          <w:lang w:eastAsia="ru-RU"/>
        </w:rPr>
        <w:t xml:space="preserve">соблюдения </w:t>
      </w:r>
      <w:proofErr w:type="gramStart"/>
      <w:r w:rsidRPr="00E91101">
        <w:rPr>
          <w:rFonts w:ascii="Arial" w:eastAsia="Times New Roman" w:hAnsi="Arial" w:cs="Arial"/>
          <w:b/>
          <w:bCs/>
          <w:color w:val="1F262D"/>
          <w:sz w:val="19"/>
          <w:lang w:eastAsia="ru-RU"/>
        </w:rPr>
        <w:t>прав</w:t>
      </w:r>
      <w:proofErr w:type="gramEnd"/>
      <w:r w:rsidRPr="00E91101">
        <w:rPr>
          <w:rFonts w:ascii="Arial" w:eastAsia="Times New Roman" w:hAnsi="Arial" w:cs="Arial"/>
          <w:b/>
          <w:bCs/>
          <w:color w:val="1F262D"/>
          <w:sz w:val="19"/>
          <w:lang w:eastAsia="ru-RU"/>
        </w:rPr>
        <w:t xml:space="preserve"> обучающихся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при её проведении. ТЭК создаются органом исполнительной власти субъекта РФ, осуществляющим управление в сфере образования.</w:t>
      </w:r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В состав ТЭК включаются представители ОУО субъекта РФ, муниципальных районов и городских округов, ОУ начального профессионального и среднего профессионального образования, ОУ, методисты методических служб в соотношении, обеспечивающем представительство всех заинтересованных сторон.</w:t>
      </w:r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Для </w:t>
      </w:r>
      <w:r w:rsidRPr="00E91101">
        <w:rPr>
          <w:rFonts w:ascii="Arial" w:eastAsia="Times New Roman" w:hAnsi="Arial" w:cs="Arial"/>
          <w:b/>
          <w:bCs/>
          <w:color w:val="1F262D"/>
          <w:sz w:val="19"/>
          <w:lang w:eastAsia="ru-RU"/>
        </w:rPr>
        <w:t>обеспечения объективности</w:t>
      </w: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при оценке качества знаний выпускников создаются предметные комиссии ТЭК (подкомиссии) по общеобразовательным предметам, которые осуществляют проверку и оценивание работ учащихся.</w:t>
      </w:r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lastRenderedPageBreak/>
        <w:t>В состав предметных комиссий входят педагогические работники ОУ, методисты, преподаватели ОУ начального и среднего профессионального образования по профилю территориальной предметной комиссии на паритетных началах.</w:t>
      </w:r>
    </w:p>
    <w:p w:rsidR="00E91101" w:rsidRPr="00E91101" w:rsidRDefault="00E91101" w:rsidP="00E91101">
      <w:pPr>
        <w:numPr>
          <w:ilvl w:val="0"/>
          <w:numId w:val="14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50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ТОМ</w:t>
        </w:r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Труднодоступные и отдалённые местности.</w:t>
      </w:r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В каждой ТОМ в соответствии с количеством участников ЕГЭ по заявленным предметам и их </w:t>
      </w:r>
      <w:proofErr w:type="spellStart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рассредоточенностью</w:t>
      </w:r>
      <w:proofErr w:type="spellEnd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</w:t>
      </w:r>
      <w:proofErr w:type="gramStart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по ТОМ</w:t>
      </w:r>
      <w:proofErr w:type="gramEnd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может быть организован один и более пунктов проведения ЕГЭ.</w:t>
      </w:r>
    </w:p>
    <w:p w:rsidR="00E91101" w:rsidRPr="00E91101" w:rsidRDefault="00E91101" w:rsidP="00E91101">
      <w:pPr>
        <w:spacing w:after="0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У</w:t>
      </w:r>
    </w:p>
    <w:p w:rsidR="00E91101" w:rsidRPr="00E91101" w:rsidRDefault="00E91101" w:rsidP="00E91101">
      <w:pPr>
        <w:numPr>
          <w:ilvl w:val="0"/>
          <w:numId w:val="15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51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Участник ЕГЭ</w:t>
        </w:r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proofErr w:type="gramStart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Выпускник школы, учащийся образовательного учреждения начального профессионального образования (ПТУ, профессиональный лицей и др.), среднего профессионального образования (техникум, колледж и др.), а также абитуриент, поступающий в имеющие государственную аккредитацию образовательные учреждения высшего и среднего профессионального образования.</w:t>
      </w:r>
      <w:proofErr w:type="gramEnd"/>
    </w:p>
    <w:p w:rsidR="00E91101" w:rsidRPr="00E91101" w:rsidRDefault="00E91101" w:rsidP="00E91101">
      <w:pPr>
        <w:spacing w:after="0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Ф</w:t>
      </w:r>
    </w:p>
    <w:p w:rsidR="00E91101" w:rsidRPr="00E91101" w:rsidRDefault="00E91101" w:rsidP="00E91101">
      <w:pPr>
        <w:numPr>
          <w:ilvl w:val="0"/>
          <w:numId w:val="16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52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ФБД</w:t>
        </w:r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Федеральная база данных об участниках и о результатах ЕГЭ.</w:t>
      </w:r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proofErr w:type="gramStart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ФБД ЕГЭ содержит сведения об участниках ЕГЭ, результатах ЕГЭ и выдаваемых участникам ЕГЭ свидетельствах о результатах ЕГЭ, о работниках, привлекаемых по решению уполномоченных органов исполнительной власти Российской Федерации и субъектов Российской Федерации к проведению ЕГЭ, о пунктах проведения ЕГЭ, а также федеральный банк тестовых заданий, данные о контрольных измерительных материалах для проведения ЕГЭ, ключах и критериях их оценивания.</w:t>
      </w:r>
      <w:proofErr w:type="gramEnd"/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Обладателем информации, содержащейся в ФБД ЕГЭ, является Российская Федерация. От имени Российской Федерации правомочия обладателя информации, содержащейся в ФБД ЕГЭ, осуществляются </w:t>
      </w:r>
      <w:hyperlink r:id="rId53" w:tgtFrame="_blank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Федеральной службой по надзору в сфере образования и науки (</w:t>
        </w:r>
        <w:proofErr w:type="spellStart"/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Рособрнадзором</w:t>
        </w:r>
        <w:proofErr w:type="spellEnd"/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)</w:t>
        </w:r>
      </w:hyperlink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.</w:t>
      </w:r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Пользователями ФБД ЕГЭ являются заинтересованные органы государственной власти Российской Федерации и субъектов Российской Федерации, органы местного самоуправления, ОУ, а также организации, привлекаемые к проведению ЕГЭ.</w:t>
      </w:r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lastRenderedPageBreak/>
        <w:t xml:space="preserve">Порядок и условия доступа к информации, содержащейся в ФБД ЕГЭ, определяются </w:t>
      </w:r>
      <w:hyperlink r:id="rId54" w:tgtFrame="_blank" w:history="1">
        <w:proofErr w:type="spellStart"/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Рособрнадзором</w:t>
        </w:r>
        <w:proofErr w:type="spellEnd"/>
      </w:hyperlink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(уполномоченным органом исполнительной власти субъекта Российской Федерации, осуществляющим управление в сфере образования).</w:t>
      </w:r>
    </w:p>
    <w:p w:rsidR="00E91101" w:rsidRPr="00E91101" w:rsidRDefault="00E91101" w:rsidP="00E91101">
      <w:pPr>
        <w:numPr>
          <w:ilvl w:val="0"/>
          <w:numId w:val="16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55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ФБС</w:t>
        </w:r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Федеральная база свидетельств о результатах ЕГЭ. ФБС предназначена для хранения информации обо всех выданных </w:t>
      </w:r>
      <w:proofErr w:type="gramStart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свидетельствах</w:t>
      </w:r>
      <w:proofErr w:type="gramEnd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о результатах ЕГЭ и обеспечения контроля подлинности сведений и свидетельств, предоставляемых абитуриентами в приемные комиссии образовательных учреждений профессионального образования.</w:t>
      </w:r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Пользователями АИС ФБС (автоматизированной информационной системой ФБС) являются вузы, </w:t>
      </w:r>
      <w:proofErr w:type="spellStart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ссузы</w:t>
      </w:r>
      <w:proofErr w:type="spellEnd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и РЦОИ субъектов Российской Федерации.</w:t>
      </w:r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ФБС автоматизирует следующие основные процессы:</w:t>
      </w:r>
    </w:p>
    <w:p w:rsidR="00E91101" w:rsidRPr="00E91101" w:rsidRDefault="00E91101" w:rsidP="00E91101">
      <w:pPr>
        <w:numPr>
          <w:ilvl w:val="1"/>
          <w:numId w:val="16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проверка подлинности данных о свидетельствах, подаваемых в приемную комиссию, путем сравнения с данными, имеющимися в ФБС;</w:t>
      </w:r>
    </w:p>
    <w:p w:rsidR="00E91101" w:rsidRPr="00E91101" w:rsidRDefault="00E91101" w:rsidP="00E91101">
      <w:pPr>
        <w:numPr>
          <w:ilvl w:val="1"/>
          <w:numId w:val="16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проверка наличия свидетельства, выданного физическому лицу с заданными ФИО, серией и номеру документа путем сравнения с данными, имеющимися в ФБС</w:t>
      </w:r>
    </w:p>
    <w:p w:rsidR="00E91101" w:rsidRPr="00E91101" w:rsidRDefault="00E91101" w:rsidP="00E91101">
      <w:pPr>
        <w:numPr>
          <w:ilvl w:val="0"/>
          <w:numId w:val="16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56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ФЭК</w:t>
        </w:r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Федеральная экзаменационная комиссия. </w:t>
      </w:r>
      <w:proofErr w:type="gramStart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ФЭК наделена теми же полномочиями, что и ГЭК, но по отношению к ОУ РФ, расположенным за пределами Российской Федерации.</w:t>
      </w:r>
      <w:proofErr w:type="gramEnd"/>
    </w:p>
    <w:p w:rsidR="00E91101" w:rsidRPr="00E91101" w:rsidRDefault="00E91101" w:rsidP="00E91101">
      <w:pPr>
        <w:numPr>
          <w:ilvl w:val="0"/>
          <w:numId w:val="16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57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ФИПИ</w:t>
        </w:r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58" w:tgtFrame="_blank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Федеральный институт педагогических измерений</w:t>
        </w:r>
      </w:hyperlink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– учреждение, отвечающее за организацию разработки контрольных измерительных материалов ЕГЭ.</w:t>
      </w:r>
    </w:p>
    <w:p w:rsidR="00E91101" w:rsidRPr="00E91101" w:rsidRDefault="00E91101" w:rsidP="00E91101">
      <w:pPr>
        <w:numPr>
          <w:ilvl w:val="0"/>
          <w:numId w:val="16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59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ФИС</w:t>
        </w:r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Федеральная информационная система обеспечения проведения единого государственного экзамена и приема граждан в образовательные учреждения среднего профессионального образования и образовательные учреждения высшего профессионального образования. Правила её формирования и ведения устанавливаются соответствующим Постановлением Правительства Российской Федерации</w:t>
      </w:r>
      <w:proofErr w:type="gramStart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.</w:t>
      </w:r>
      <w:proofErr w:type="gramEnd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</w:t>
      </w:r>
      <w:hyperlink r:id="rId60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(</w:t>
        </w:r>
        <w:proofErr w:type="gramStart"/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с</w:t>
        </w:r>
        <w:proofErr w:type="gramEnd"/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м. документ)</w:t>
        </w:r>
      </w:hyperlink>
    </w:p>
    <w:p w:rsidR="00E91101" w:rsidRPr="00E91101" w:rsidRDefault="00E91101" w:rsidP="00E91101">
      <w:pPr>
        <w:numPr>
          <w:ilvl w:val="0"/>
          <w:numId w:val="16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61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ФЦТ</w:t>
        </w:r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62" w:tgtFrame="_blank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Федеральный центр тестирования</w:t>
        </w:r>
      </w:hyperlink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– учреждение, отвечающее за технологическое обеспечение ЕГЭ, а так же обработку результатов ЕГЭ на федеральном уровне.</w:t>
      </w:r>
    </w:p>
    <w:p w:rsidR="00E91101" w:rsidRPr="00E91101" w:rsidRDefault="00E91101" w:rsidP="00E91101">
      <w:pPr>
        <w:spacing w:after="0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proofErr w:type="gramStart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Ш</w:t>
      </w:r>
      <w:proofErr w:type="gramEnd"/>
    </w:p>
    <w:p w:rsidR="00E91101" w:rsidRPr="00E91101" w:rsidRDefault="00E91101" w:rsidP="00E91101">
      <w:pPr>
        <w:numPr>
          <w:ilvl w:val="0"/>
          <w:numId w:val="17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63" w:history="1">
        <w:proofErr w:type="spellStart"/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Шкалирование</w:t>
        </w:r>
        <w:proofErr w:type="spellEnd"/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Процесс формирования тестовых шкал по правилам начисления тестовых баллов по результатам тестирования на основе статистических данных.</w:t>
      </w:r>
    </w:p>
    <w:p w:rsidR="00E91101" w:rsidRPr="00E91101" w:rsidRDefault="00E91101" w:rsidP="00E91101">
      <w:pPr>
        <w:spacing w:after="0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Э</w:t>
      </w:r>
    </w:p>
    <w:p w:rsidR="00E91101" w:rsidRPr="00E91101" w:rsidRDefault="00E91101" w:rsidP="00E91101">
      <w:pPr>
        <w:numPr>
          <w:ilvl w:val="0"/>
          <w:numId w:val="18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64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Экзаменационные материалы</w:t>
        </w:r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Контрольные измерительные материалы различных видов (тексты, задания и др.), которые выдаются участникам ЕГЭ на экзамене. Экзаменационные материалы или КИМ разрабатываются в соответствии с требованиями федерального государственного образовательного стандарта среднего (полного) общего образования к результатам освоения основных общеобразовательных программ среднего (полного) общего образования. Разработкой экзаменационных материалов или </w:t>
      </w:r>
      <w:proofErr w:type="spellStart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КИМов</w:t>
      </w:r>
      <w:proofErr w:type="spellEnd"/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 xml:space="preserve"> занимаются специалисты </w:t>
      </w:r>
      <w:hyperlink r:id="rId65" w:tgtFrame="_blank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ФГНУ ФИПИ</w:t>
        </w:r>
      </w:hyperlink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.</w:t>
      </w:r>
    </w:p>
    <w:p w:rsidR="00E91101" w:rsidRPr="00E91101" w:rsidRDefault="00E91101" w:rsidP="00E91101">
      <w:pPr>
        <w:numPr>
          <w:ilvl w:val="0"/>
          <w:numId w:val="18"/>
        </w:numPr>
        <w:spacing w:before="100" w:beforeAutospacing="1" w:after="100" w:afterAutospacing="1" w:line="336" w:lineRule="atLeast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hyperlink r:id="rId66" w:history="1">
        <w:r w:rsidRPr="00E91101">
          <w:rPr>
            <w:rFonts w:ascii="Arial" w:eastAsia="Times New Roman" w:hAnsi="Arial" w:cs="Arial"/>
            <w:b/>
            <w:bCs/>
            <w:color w:val="000000"/>
            <w:sz w:val="19"/>
            <w:szCs w:val="19"/>
            <w:lang w:eastAsia="ru-RU"/>
          </w:rPr>
          <w:t>Эксперты</w:t>
        </w:r>
      </w:hyperlink>
    </w:p>
    <w:p w:rsidR="00E91101" w:rsidRPr="00E91101" w:rsidRDefault="00E91101" w:rsidP="00E91101">
      <w:pPr>
        <w:spacing w:before="100" w:beforeAutospacing="1" w:after="100" w:afterAutospacing="1" w:line="336" w:lineRule="atLeast"/>
        <w:ind w:left="720"/>
        <w:rPr>
          <w:rFonts w:ascii="Arial" w:eastAsia="Times New Roman" w:hAnsi="Arial" w:cs="Arial"/>
          <w:color w:val="1F262D"/>
          <w:sz w:val="19"/>
          <w:szCs w:val="19"/>
          <w:lang w:eastAsia="ru-RU"/>
        </w:rPr>
      </w:pPr>
      <w:r w:rsidRPr="00E91101">
        <w:rPr>
          <w:rFonts w:ascii="Arial" w:eastAsia="Times New Roman" w:hAnsi="Arial" w:cs="Arial"/>
          <w:color w:val="1F262D"/>
          <w:sz w:val="19"/>
          <w:szCs w:val="19"/>
          <w:lang w:eastAsia="ru-RU"/>
        </w:rPr>
        <w:t>Специалисты-преподаватели по определенному предмету, которые привлекаются к обработке результатов ЕГЭ для оценивания заполненных бланков по заданиям части 3 (тип С). Эксперты работают под руководством председателей предметных комиссий регионов и собираются на несколько дней в период проведения ЕГЭ на базе одного из ППОИ или на базе РЦОИ.</w:t>
      </w:r>
    </w:p>
    <w:p w:rsidR="00546BDF" w:rsidRDefault="00E91101"/>
    <w:sectPr w:rsidR="00546BDF" w:rsidSect="005E08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A65AC"/>
    <w:multiLevelType w:val="multilevel"/>
    <w:tmpl w:val="62166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B22BC6"/>
    <w:multiLevelType w:val="multilevel"/>
    <w:tmpl w:val="2FF07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D8397F"/>
    <w:multiLevelType w:val="multilevel"/>
    <w:tmpl w:val="DBB43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38169D"/>
    <w:multiLevelType w:val="multilevel"/>
    <w:tmpl w:val="59C2D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A251DE"/>
    <w:multiLevelType w:val="multilevel"/>
    <w:tmpl w:val="054EE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6333A0"/>
    <w:multiLevelType w:val="multilevel"/>
    <w:tmpl w:val="9834B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A1B2736"/>
    <w:multiLevelType w:val="multilevel"/>
    <w:tmpl w:val="15B2C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EBB1729"/>
    <w:multiLevelType w:val="multilevel"/>
    <w:tmpl w:val="43E4E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1311A9B"/>
    <w:multiLevelType w:val="multilevel"/>
    <w:tmpl w:val="A7304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DEF5805"/>
    <w:multiLevelType w:val="multilevel"/>
    <w:tmpl w:val="D346C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A233FD"/>
    <w:multiLevelType w:val="multilevel"/>
    <w:tmpl w:val="6646E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ADD7DD7"/>
    <w:multiLevelType w:val="multilevel"/>
    <w:tmpl w:val="01A0C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B10101E"/>
    <w:multiLevelType w:val="multilevel"/>
    <w:tmpl w:val="03A66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C5D73AF"/>
    <w:multiLevelType w:val="multilevel"/>
    <w:tmpl w:val="B900B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02F18A9"/>
    <w:multiLevelType w:val="multilevel"/>
    <w:tmpl w:val="878A3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492561A"/>
    <w:multiLevelType w:val="multilevel"/>
    <w:tmpl w:val="EDD80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5F62782"/>
    <w:multiLevelType w:val="multilevel"/>
    <w:tmpl w:val="BE543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F2B799A"/>
    <w:multiLevelType w:val="multilevel"/>
    <w:tmpl w:val="94646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2"/>
  </w:num>
  <w:num w:numId="3">
    <w:abstractNumId w:val="17"/>
  </w:num>
  <w:num w:numId="4">
    <w:abstractNumId w:val="3"/>
  </w:num>
  <w:num w:numId="5">
    <w:abstractNumId w:val="15"/>
  </w:num>
  <w:num w:numId="6">
    <w:abstractNumId w:val="8"/>
  </w:num>
  <w:num w:numId="7">
    <w:abstractNumId w:val="16"/>
  </w:num>
  <w:num w:numId="8">
    <w:abstractNumId w:val="6"/>
  </w:num>
  <w:num w:numId="9">
    <w:abstractNumId w:val="11"/>
  </w:num>
  <w:num w:numId="10">
    <w:abstractNumId w:val="12"/>
  </w:num>
  <w:num w:numId="11">
    <w:abstractNumId w:val="13"/>
  </w:num>
  <w:num w:numId="12">
    <w:abstractNumId w:val="7"/>
  </w:num>
  <w:num w:numId="13">
    <w:abstractNumId w:val="1"/>
  </w:num>
  <w:num w:numId="14">
    <w:abstractNumId w:val="14"/>
  </w:num>
  <w:num w:numId="15">
    <w:abstractNumId w:val="4"/>
  </w:num>
  <w:num w:numId="16">
    <w:abstractNumId w:val="5"/>
  </w:num>
  <w:num w:numId="17">
    <w:abstractNumId w:val="10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E91101"/>
    <w:rsid w:val="001C7BE7"/>
    <w:rsid w:val="005E0887"/>
    <w:rsid w:val="00E46E49"/>
    <w:rsid w:val="00E91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887"/>
  </w:style>
  <w:style w:type="paragraph" w:styleId="1">
    <w:name w:val="heading 1"/>
    <w:basedOn w:val="a"/>
    <w:link w:val="10"/>
    <w:uiPriority w:val="9"/>
    <w:qFormat/>
    <w:rsid w:val="00E91101"/>
    <w:pPr>
      <w:spacing w:before="100" w:beforeAutospacing="1" w:after="100" w:afterAutospacing="1" w:line="240" w:lineRule="auto"/>
      <w:outlineLvl w:val="0"/>
    </w:pPr>
    <w:rPr>
      <w:rFonts w:ascii="Arial" w:eastAsia="Times New Roman" w:hAnsi="Arial" w:cs="Arial"/>
      <w:color w:val="202731"/>
      <w:kern w:val="36"/>
      <w:sz w:val="33"/>
      <w:szCs w:val="3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1101"/>
    <w:rPr>
      <w:rFonts w:ascii="Arial" w:eastAsia="Times New Roman" w:hAnsi="Arial" w:cs="Arial"/>
      <w:color w:val="202731"/>
      <w:kern w:val="36"/>
      <w:sz w:val="33"/>
      <w:szCs w:val="33"/>
      <w:lang w:eastAsia="ru-RU"/>
    </w:rPr>
  </w:style>
  <w:style w:type="character" w:styleId="a3">
    <w:name w:val="Strong"/>
    <w:basedOn w:val="a0"/>
    <w:uiPriority w:val="22"/>
    <w:qFormat/>
    <w:rsid w:val="00E9110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7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89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74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605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220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8979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80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83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89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20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759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382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6415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65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644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687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26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55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77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829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108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965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877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606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33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903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4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298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229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626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953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576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110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08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152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817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21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411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826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713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11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6305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216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4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46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716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953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18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73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8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06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9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798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782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7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629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359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2034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263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21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439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65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106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97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20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02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058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93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723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05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58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489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82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063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92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58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527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827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98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30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67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93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982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68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109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917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076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6997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00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356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358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javascript://" TargetMode="External"/><Relationship Id="rId18" Type="http://schemas.openxmlformats.org/officeDocument/2006/relationships/hyperlink" Target="javascript://" TargetMode="External"/><Relationship Id="rId26" Type="http://schemas.openxmlformats.org/officeDocument/2006/relationships/hyperlink" Target="http://www.fipi.ru/" TargetMode="External"/><Relationship Id="rId39" Type="http://schemas.openxmlformats.org/officeDocument/2006/relationships/hyperlink" Target="javascript://" TargetMode="External"/><Relationship Id="rId21" Type="http://schemas.openxmlformats.org/officeDocument/2006/relationships/hyperlink" Target="javascript://" TargetMode="External"/><Relationship Id="rId34" Type="http://schemas.openxmlformats.org/officeDocument/2006/relationships/hyperlink" Target="javascript://" TargetMode="External"/><Relationship Id="rId42" Type="http://schemas.openxmlformats.org/officeDocument/2006/relationships/hyperlink" Target="http://ege.edu.ru/ru/main/legal-documents/index.php?id_4=17897" TargetMode="External"/><Relationship Id="rId47" Type="http://schemas.openxmlformats.org/officeDocument/2006/relationships/hyperlink" Target="javascript://" TargetMode="External"/><Relationship Id="rId50" Type="http://schemas.openxmlformats.org/officeDocument/2006/relationships/hyperlink" Target="javascript://" TargetMode="External"/><Relationship Id="rId55" Type="http://schemas.openxmlformats.org/officeDocument/2006/relationships/hyperlink" Target="javascript://" TargetMode="External"/><Relationship Id="rId63" Type="http://schemas.openxmlformats.org/officeDocument/2006/relationships/hyperlink" Target="javascript://" TargetMode="External"/><Relationship Id="rId68" Type="http://schemas.openxmlformats.org/officeDocument/2006/relationships/theme" Target="theme/theme1.xml"/><Relationship Id="rId7" Type="http://schemas.openxmlformats.org/officeDocument/2006/relationships/hyperlink" Target="javascript://" TargetMode="External"/><Relationship Id="rId2" Type="http://schemas.openxmlformats.org/officeDocument/2006/relationships/styles" Target="styles.xml"/><Relationship Id="rId16" Type="http://schemas.openxmlformats.org/officeDocument/2006/relationships/hyperlink" Target="javascript://" TargetMode="External"/><Relationship Id="rId29" Type="http://schemas.openxmlformats.org/officeDocument/2006/relationships/hyperlink" Target="javascript:/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ege.edu.ru/ru/2011/classes-11/appel/57" TargetMode="External"/><Relationship Id="rId11" Type="http://schemas.openxmlformats.org/officeDocument/2006/relationships/hyperlink" Target="javascript://" TargetMode="External"/><Relationship Id="rId24" Type="http://schemas.openxmlformats.org/officeDocument/2006/relationships/hyperlink" Target="javascript://" TargetMode="External"/><Relationship Id="rId32" Type="http://schemas.openxmlformats.org/officeDocument/2006/relationships/hyperlink" Target="javascript://" TargetMode="External"/><Relationship Id="rId37" Type="http://schemas.openxmlformats.org/officeDocument/2006/relationships/hyperlink" Target="javascript://" TargetMode="External"/><Relationship Id="rId40" Type="http://schemas.openxmlformats.org/officeDocument/2006/relationships/hyperlink" Target="javascript://" TargetMode="External"/><Relationship Id="rId45" Type="http://schemas.openxmlformats.org/officeDocument/2006/relationships/hyperlink" Target="javascript://" TargetMode="External"/><Relationship Id="rId53" Type="http://schemas.openxmlformats.org/officeDocument/2006/relationships/hyperlink" Target="http://obrnadzor.gov.ru/" TargetMode="External"/><Relationship Id="rId58" Type="http://schemas.openxmlformats.org/officeDocument/2006/relationships/hyperlink" Target="http://www.fipi.ru/" TargetMode="External"/><Relationship Id="rId66" Type="http://schemas.openxmlformats.org/officeDocument/2006/relationships/hyperlink" Target="javascript://" TargetMode="External"/><Relationship Id="rId5" Type="http://schemas.openxmlformats.org/officeDocument/2006/relationships/hyperlink" Target="javascript://" TargetMode="External"/><Relationship Id="rId15" Type="http://schemas.openxmlformats.org/officeDocument/2006/relationships/hyperlink" Target="javascript://" TargetMode="External"/><Relationship Id="rId23" Type="http://schemas.openxmlformats.org/officeDocument/2006/relationships/hyperlink" Target="javascript://" TargetMode="External"/><Relationship Id="rId28" Type="http://schemas.openxmlformats.org/officeDocument/2006/relationships/hyperlink" Target="javascript://" TargetMode="External"/><Relationship Id="rId36" Type="http://schemas.openxmlformats.org/officeDocument/2006/relationships/hyperlink" Target="javascript://" TargetMode="External"/><Relationship Id="rId49" Type="http://schemas.openxmlformats.org/officeDocument/2006/relationships/hyperlink" Target="javascript://" TargetMode="External"/><Relationship Id="rId57" Type="http://schemas.openxmlformats.org/officeDocument/2006/relationships/hyperlink" Target="javascript://" TargetMode="External"/><Relationship Id="rId61" Type="http://schemas.openxmlformats.org/officeDocument/2006/relationships/hyperlink" Target="javascript://" TargetMode="External"/><Relationship Id="rId10" Type="http://schemas.openxmlformats.org/officeDocument/2006/relationships/hyperlink" Target="javascript://" TargetMode="External"/><Relationship Id="rId19" Type="http://schemas.openxmlformats.org/officeDocument/2006/relationships/hyperlink" Target="javascript://" TargetMode="External"/><Relationship Id="rId31" Type="http://schemas.openxmlformats.org/officeDocument/2006/relationships/hyperlink" Target="javascript://" TargetMode="External"/><Relationship Id="rId44" Type="http://schemas.openxmlformats.org/officeDocument/2006/relationships/hyperlink" Target="javascript://" TargetMode="External"/><Relationship Id="rId52" Type="http://schemas.openxmlformats.org/officeDocument/2006/relationships/hyperlink" Target="javascript://" TargetMode="External"/><Relationship Id="rId60" Type="http://schemas.openxmlformats.org/officeDocument/2006/relationships/hyperlink" Target="http://ege.edu.ru/ru/main/legal-documents/index.php?id_4=17897" TargetMode="External"/><Relationship Id="rId65" Type="http://schemas.openxmlformats.org/officeDocument/2006/relationships/hyperlink" Target="http://www.fip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//" TargetMode="External"/><Relationship Id="rId14" Type="http://schemas.openxmlformats.org/officeDocument/2006/relationships/hyperlink" Target="javascript://" TargetMode="External"/><Relationship Id="rId22" Type="http://schemas.openxmlformats.org/officeDocument/2006/relationships/hyperlink" Target="javascript://" TargetMode="External"/><Relationship Id="rId27" Type="http://schemas.openxmlformats.org/officeDocument/2006/relationships/hyperlink" Target="javascript://" TargetMode="External"/><Relationship Id="rId30" Type="http://schemas.openxmlformats.org/officeDocument/2006/relationships/hyperlink" Target="javascript://" TargetMode="External"/><Relationship Id="rId35" Type="http://schemas.openxmlformats.org/officeDocument/2006/relationships/hyperlink" Target="javascript://" TargetMode="External"/><Relationship Id="rId43" Type="http://schemas.openxmlformats.org/officeDocument/2006/relationships/hyperlink" Target="javascript://" TargetMode="External"/><Relationship Id="rId48" Type="http://schemas.openxmlformats.org/officeDocument/2006/relationships/hyperlink" Target="javascript://" TargetMode="External"/><Relationship Id="rId56" Type="http://schemas.openxmlformats.org/officeDocument/2006/relationships/hyperlink" Target="javascript://" TargetMode="External"/><Relationship Id="rId64" Type="http://schemas.openxmlformats.org/officeDocument/2006/relationships/hyperlink" Target="javascript://" TargetMode="External"/><Relationship Id="rId8" Type="http://schemas.openxmlformats.org/officeDocument/2006/relationships/hyperlink" Target="javascript://" TargetMode="External"/><Relationship Id="rId51" Type="http://schemas.openxmlformats.org/officeDocument/2006/relationships/hyperlink" Target="javascript://" TargetMode="External"/><Relationship Id="rId3" Type="http://schemas.openxmlformats.org/officeDocument/2006/relationships/settings" Target="settings.xml"/><Relationship Id="rId12" Type="http://schemas.openxmlformats.org/officeDocument/2006/relationships/hyperlink" Target="javascript://" TargetMode="External"/><Relationship Id="rId17" Type="http://schemas.openxmlformats.org/officeDocument/2006/relationships/hyperlink" Target="javascript://" TargetMode="External"/><Relationship Id="rId25" Type="http://schemas.openxmlformats.org/officeDocument/2006/relationships/hyperlink" Target="javascript://" TargetMode="External"/><Relationship Id="rId33" Type="http://schemas.openxmlformats.org/officeDocument/2006/relationships/hyperlink" Target="http://ege.edu.ru/ru/main/legal-documents/index.php?id_4=17851&amp;from_4=2" TargetMode="External"/><Relationship Id="rId38" Type="http://schemas.openxmlformats.org/officeDocument/2006/relationships/hyperlink" Target="javascript://" TargetMode="External"/><Relationship Id="rId46" Type="http://schemas.openxmlformats.org/officeDocument/2006/relationships/hyperlink" Target="javascript://" TargetMode="External"/><Relationship Id="rId59" Type="http://schemas.openxmlformats.org/officeDocument/2006/relationships/hyperlink" Target="javascript://" TargetMode="External"/><Relationship Id="rId67" Type="http://schemas.openxmlformats.org/officeDocument/2006/relationships/fontTable" Target="fontTable.xml"/><Relationship Id="rId20" Type="http://schemas.openxmlformats.org/officeDocument/2006/relationships/hyperlink" Target="javascript://" TargetMode="External"/><Relationship Id="rId41" Type="http://schemas.openxmlformats.org/officeDocument/2006/relationships/hyperlink" Target="javascript://" TargetMode="External"/><Relationship Id="rId54" Type="http://schemas.openxmlformats.org/officeDocument/2006/relationships/hyperlink" Target="http://obrnadzor.gov.ru/" TargetMode="External"/><Relationship Id="rId62" Type="http://schemas.openxmlformats.org/officeDocument/2006/relationships/hyperlink" Target="http://www.ruste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4075</Words>
  <Characters>23231</Characters>
  <Application>Microsoft Office Word</Application>
  <DocSecurity>0</DocSecurity>
  <Lines>193</Lines>
  <Paragraphs>54</Paragraphs>
  <ScaleCrop>false</ScaleCrop>
  <Company/>
  <LinksUpToDate>false</LinksUpToDate>
  <CharactersWithSpaces>27252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KLIMENKO</dc:creator>
  <cp:lastModifiedBy>KLIMENKO</cp:lastModifiedBy>
  <cp:revision>2</cp:revision>
  <dcterms:created xsi:type="dcterms:W3CDTF">2013-11-01T12:12:00Z</dcterms:created>
  <dcterms:modified xsi:type="dcterms:W3CDTF">2013-11-01T12:12:00Z</dcterms:modified>
</cp:coreProperties>
</file>